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 IV </w:t>
      </w:r>
    </w:p>
    <w:p w:rsidR="00000000" w:rsidDel="00000000" w:rsidP="00000000" w:rsidRDefault="00000000" w:rsidRPr="00000000" w14:paraId="00000002">
      <w:pPr>
        <w:spacing w:after="120" w:lineRule="auto"/>
        <w:ind w:lef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TERMO DE EXECUÇÃO CULTURAL Nº [INDICAR NÚMERO]/[INDICAR ANO] TENDO POR OBJETO A CONCESSÃO DE APOIO FINANCEIRO A AÇÕES CULTURAIS CONTEMPLADAS PELO EDITAL nº</w:t>
      </w:r>
      <w:r w:rsidDel="00000000" w:rsidR="00000000" w:rsidRPr="00000000">
        <w:rPr>
          <w:rFonts w:ascii="Arial" w:cs="Arial" w:eastAsia="Arial" w:hAnsi="Arial"/>
          <w:b w:val="1"/>
          <w:sz w:val="24"/>
          <w:szCs w:val="24"/>
          <w:rtl w:val="0"/>
        </w:rPr>
        <w:t xml:space="preserve"> 007/2024</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 NOS TERMOS DA LEI Nº 14.399/2022 (PNAB), DO DECRETO N. 11.740/2023 (DECRETO PNAB) E DO DECRETO 11.453/2023 (DECRETO DE FOMENTO).</w:t>
      </w:r>
    </w:p>
    <w:p w:rsidR="00000000" w:rsidDel="00000000" w:rsidP="00000000" w:rsidRDefault="00000000" w:rsidRPr="00000000" w14:paraId="00000004">
      <w:pPr>
        <w:spacing w:after="100" w:lineRule="auto"/>
        <w:ind w:lef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PARTES</w:t>
      </w:r>
    </w:p>
    <w:p w:rsidR="00000000" w:rsidDel="00000000" w:rsidP="00000000" w:rsidRDefault="00000000" w:rsidRPr="00000000" w14:paraId="0000000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 A FUNDAÇÃO CULTURAL DE ITAJAÍ, neste ato representado por seu SUPERINTENDENTE ADMINISTRATIVO DAS FUNDAÇÕES, Senhor NORMÉLIO PEDRO WEBER, e o(a) AGENTE CULTURAL</w:t>
      </w:r>
      <w:r w:rsidDel="00000000" w:rsidR="00000000" w:rsidRPr="00000000">
        <w:rPr>
          <w:rFonts w:ascii="Arial" w:cs="Arial" w:eastAsia="Arial" w:hAnsi="Arial"/>
          <w:sz w:val="24"/>
          <w:szCs w:val="24"/>
          <w:rtl w:val="0"/>
        </w:rPr>
        <w:t xml:space="preserve">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PROCEDIMENTO</w:t>
      </w:r>
    </w:p>
    <w:p w:rsidR="00000000" w:rsidDel="00000000" w:rsidP="00000000" w:rsidRDefault="00000000" w:rsidRPr="00000000" w14:paraId="00000008">
      <w:pPr>
        <w:spacing w:after="12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Nº 14.399/2022 (PNAB), DO DECRETO N. 11.740/2023 (DECRETO PNAB) E DO DECRETO 11.453/2023 (DECRETO DE FOMENTO).</w:t>
      </w:r>
    </w:p>
    <w:p w:rsidR="00000000" w:rsidDel="00000000" w:rsidP="00000000" w:rsidRDefault="00000000" w:rsidRPr="00000000" w14:paraId="00000009">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OBJETO</w:t>
      </w:r>
    </w:p>
    <w:p w:rsidR="00000000" w:rsidDel="00000000" w:rsidP="00000000" w:rsidRDefault="00000000" w:rsidRPr="00000000" w14:paraId="0000000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B">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RECURSOS FINANCEIROS </w:t>
      </w:r>
    </w:p>
    <w:p w:rsidR="00000000" w:rsidDel="00000000" w:rsidP="00000000" w:rsidRDefault="00000000" w:rsidRPr="00000000" w14:paraId="0000000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E">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APLICAÇÃO DOS RECURSOS</w:t>
      </w:r>
    </w:p>
    <w:p w:rsidR="00000000" w:rsidDel="00000000" w:rsidP="00000000" w:rsidRDefault="00000000" w:rsidRPr="00000000" w14:paraId="0000000F">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0">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OBRIGAÇÕES</w:t>
      </w:r>
    </w:p>
    <w:p w:rsidR="00000000" w:rsidDel="00000000" w:rsidP="00000000" w:rsidRDefault="00000000" w:rsidRPr="00000000" w14:paraId="00000011">
      <w:pPr>
        <w:spacing w:after="100" w:lineRule="auto"/>
        <w:ind w:left="100"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6.1 São obrigações da FUNDAÇÃO CULTURAL DE ITAJAÍ.</w:t>
      </w:r>
      <w:r w:rsidDel="00000000" w:rsidR="00000000" w:rsidRPr="00000000">
        <w:rPr>
          <w:rtl w:val="0"/>
        </w:rPr>
      </w:r>
    </w:p>
    <w:p w:rsidR="00000000" w:rsidDel="00000000" w:rsidP="00000000" w:rsidRDefault="00000000" w:rsidRPr="00000000" w14:paraId="00000012">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transferir os recursos ao(a) AGENTE CULTURAL; </w:t>
      </w:r>
    </w:p>
    <w:p w:rsidR="00000000" w:rsidDel="00000000" w:rsidP="00000000" w:rsidRDefault="00000000" w:rsidRPr="00000000" w14:paraId="00000013">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4">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5">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zelar pelo fiel cumprimento deste termo de execução cultural; </w:t>
      </w:r>
    </w:p>
    <w:p w:rsidR="00000000" w:rsidDel="00000000" w:rsidP="00000000" w:rsidRDefault="00000000" w:rsidRPr="00000000" w14:paraId="0000001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adotar medidas saneadoras e corretivas quando houver inadimplemento;</w:t>
      </w:r>
    </w:p>
    <w:p w:rsidR="00000000" w:rsidDel="00000000" w:rsidP="00000000" w:rsidRDefault="00000000" w:rsidRPr="00000000" w14:paraId="0000001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 monitorar o cumprimento pelo(a) AGENTE CULTURAL das obrigações previstas na CLÁUSULA 6.2.</w:t>
      </w:r>
    </w:p>
    <w:p w:rsidR="00000000" w:rsidDel="00000000" w:rsidP="00000000" w:rsidRDefault="00000000" w:rsidRPr="00000000" w14:paraId="00000018">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6.2 São obrigações do(a) AGENTE CULTURAL: </w:t>
      </w:r>
    </w:p>
    <w:p w:rsidR="00000000" w:rsidDel="00000000" w:rsidP="00000000" w:rsidRDefault="00000000" w:rsidRPr="00000000" w14:paraId="00000019">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executar a ação cultural aprovada; </w:t>
      </w:r>
    </w:p>
    <w:p w:rsidR="00000000" w:rsidDel="00000000" w:rsidP="00000000" w:rsidRDefault="00000000" w:rsidRPr="00000000" w14:paraId="0000001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aplicar os recursos concedidos na realização da ação cultural; </w:t>
      </w:r>
    </w:p>
    <w:p w:rsidR="00000000" w:rsidDel="00000000" w:rsidP="00000000" w:rsidRDefault="00000000" w:rsidRPr="00000000" w14:paraId="0000001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prestar informações à</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FUNDAÇÃO CULTURAL DE ITAJAÍ, por meio de Relatório de Execução do Objeto, apresentado no prazo de 30 (trinta) dias contados do término da vigência do termo de execução cultural;</w:t>
      </w:r>
    </w:p>
    <w:p w:rsidR="00000000" w:rsidDel="00000000" w:rsidP="00000000" w:rsidRDefault="00000000" w:rsidRPr="00000000" w14:paraId="0000001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 atender a qualquer solicitação regular feita pelo FUNDAÇÃO CULTURAL DE ITAJAÍ a contar do recebimento da notificação; </w:t>
      </w:r>
    </w:p>
    <w:p w:rsidR="00000000" w:rsidDel="00000000" w:rsidP="00000000" w:rsidRDefault="00000000" w:rsidRPr="00000000" w14:paraId="0000001F">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VIII) não realizar despesa em data anterior ou posterior à vigência deste termo de execução cultural; </w:t>
      </w:r>
    </w:p>
    <w:p w:rsidR="00000000" w:rsidDel="00000000" w:rsidP="00000000" w:rsidRDefault="00000000" w:rsidRPr="00000000" w14:paraId="0000002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2">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X) não utilizar os recursos para finalidade diversa da estabelecida no projeto cultural;</w:t>
      </w:r>
    </w:p>
    <w:p w:rsidR="00000000" w:rsidDel="00000000" w:rsidP="00000000" w:rsidRDefault="00000000" w:rsidRPr="00000000" w14:paraId="00000023">
      <w:pPr>
        <w:spacing w:after="100" w:lineRule="auto"/>
        <w:ind w:left="100" w:firstLine="0"/>
        <w:jc w:val="both"/>
        <w:rPr>
          <w:rFonts w:ascii="Arial" w:cs="Arial" w:eastAsia="Arial" w:hAnsi="Arial"/>
          <w:b w:val="1"/>
          <w:color w:val="ff0000"/>
          <w:sz w:val="24"/>
          <w:szCs w:val="24"/>
        </w:rPr>
      </w:pPr>
      <w:r w:rsidDel="00000000" w:rsidR="00000000" w:rsidRPr="00000000">
        <w:rPr>
          <w:rFonts w:ascii="Arial" w:cs="Arial" w:eastAsia="Arial" w:hAnsi="Arial"/>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r w:rsidDel="00000000" w:rsidR="00000000" w:rsidRPr="00000000">
        <w:rPr>
          <w:rtl w:val="0"/>
        </w:rPr>
      </w:r>
    </w:p>
    <w:p w:rsidR="00000000" w:rsidDel="00000000" w:rsidP="00000000" w:rsidRDefault="00000000" w:rsidRPr="00000000" w14:paraId="00000024">
      <w:pPr>
        <w:spacing w:after="100" w:lineRule="auto"/>
        <w:ind w:left="100" w:firstLine="0"/>
        <w:jc w:val="both"/>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025">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PRESTAÇÃO DE INFORMAÇÕES EM RELATÓRIO DE EXECUÇÃO DO OBJETO</w:t>
      </w:r>
    </w:p>
    <w:p w:rsidR="00000000" w:rsidDel="00000000" w:rsidP="00000000" w:rsidRDefault="00000000" w:rsidRPr="00000000" w14:paraId="0000002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7.1 O agente cultural prestará contas à administração pública por meio da categoria de prestação de informações em relatório de execução do objeto. </w:t>
      </w:r>
    </w:p>
    <w:p w:rsidR="00000000" w:rsidDel="00000000" w:rsidP="00000000" w:rsidRDefault="00000000" w:rsidRPr="00000000" w14:paraId="0000002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 A prestação de informações em relatório de execução do objeto comprovará que foram alcançados os resultados da ação cultural, por meio dos seguintes procedimentos:</w:t>
      </w:r>
    </w:p>
    <w:p w:rsidR="00000000" w:rsidDel="00000000" w:rsidP="00000000" w:rsidRDefault="00000000" w:rsidRPr="00000000" w14:paraId="00000028">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apresentação de relatório de execução do objeto pelo beneficiário no prazo estabelecido pelo ente federativo no regulamento ou no instrumento de seleção; e</w:t>
      </w:r>
    </w:p>
    <w:p w:rsidR="00000000" w:rsidDel="00000000" w:rsidP="00000000" w:rsidRDefault="00000000" w:rsidRPr="00000000" w14:paraId="00000029">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análise do relatório de execução do objeto por agente público designado.</w:t>
      </w:r>
    </w:p>
    <w:p w:rsidR="00000000" w:rsidDel="00000000" w:rsidP="00000000" w:rsidRDefault="00000000" w:rsidRPr="00000000" w14:paraId="0000002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7.2.1 O relatório de prestação de informações sobre o cumprimento do objeto deverá:</w:t>
      </w:r>
    </w:p>
    <w:p w:rsidR="00000000" w:rsidDel="00000000" w:rsidP="00000000" w:rsidRDefault="00000000" w:rsidRPr="00000000" w14:paraId="0000002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comprovar que foram alcançados os resultados da ação cultural;</w:t>
      </w:r>
    </w:p>
    <w:p w:rsidR="00000000" w:rsidDel="00000000" w:rsidP="00000000" w:rsidRDefault="00000000" w:rsidRPr="00000000" w14:paraId="0000002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conter a descrição das ações desenvolvidas para o cumprimento do objeto; </w:t>
      </w:r>
    </w:p>
    <w:p w:rsidR="00000000" w:rsidDel="00000000" w:rsidP="00000000" w:rsidRDefault="00000000" w:rsidRPr="00000000" w14:paraId="0000002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7.2.2 O agente público competente elaborará parecer técnico de análise do relatório de execução do objeto e poderá adotar os seguintes procedimentos, de acordo com o caso concreto:</w:t>
      </w:r>
    </w:p>
    <w:p w:rsidR="00000000" w:rsidDel="00000000" w:rsidP="00000000" w:rsidRDefault="00000000" w:rsidRPr="00000000" w14:paraId="0000002F">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encaminhar o processo à autoridade responsável pelo julgamento da prestação de informações, caso conclua que houve o cumprimento integral do objeto; ou</w:t>
      </w:r>
    </w:p>
    <w:p w:rsidR="00000000" w:rsidDel="00000000" w:rsidP="00000000" w:rsidRDefault="00000000" w:rsidRPr="00000000" w14:paraId="0000003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3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7.2.3 Após o recebimento do processo pelo agente público de que trata o item 7.2.2, autoridade responsável pelo julgamento da prestação de informações poderá:</w:t>
      </w:r>
    </w:p>
    <w:p w:rsidR="00000000" w:rsidDel="00000000" w:rsidP="00000000" w:rsidRDefault="00000000" w:rsidRPr="00000000" w14:paraId="00000032">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determinar o arquivamento, caso considere que houve o cumprimento integral do objeto ou o cumprimento parcial justificado;</w:t>
      </w:r>
    </w:p>
    <w:p w:rsidR="00000000" w:rsidDel="00000000" w:rsidP="00000000" w:rsidRDefault="00000000" w:rsidRPr="00000000" w14:paraId="00000033">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34">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35">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7.3 O relatório de execução financeira será exigido, independente da modalidade inicial de prestação de informações (in loco ou em relatório de execução do objeto), somente nas seguintes hipóteses:</w:t>
      </w:r>
    </w:p>
    <w:p w:rsidR="00000000" w:rsidDel="00000000" w:rsidP="00000000" w:rsidRDefault="00000000" w:rsidRPr="00000000" w14:paraId="0000003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quando não estiver comprovado o cumprimento do objeto, observados os procedimentos previstos no item 7.2; ou</w:t>
      </w:r>
    </w:p>
    <w:p w:rsidR="00000000" w:rsidDel="00000000" w:rsidP="00000000" w:rsidRDefault="00000000" w:rsidRPr="00000000" w14:paraId="0000003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8">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7.3.1 O prazo para apresentação do relatório de execução financeira será de, no mínimo, trinta dias, contado do recebimento da notificação.</w:t>
      </w:r>
    </w:p>
    <w:p w:rsidR="00000000" w:rsidDel="00000000" w:rsidP="00000000" w:rsidRDefault="00000000" w:rsidRPr="00000000" w14:paraId="00000039">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7.4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3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aprovação da prestação de informações, com ou sem ressalvas; ou</w:t>
      </w:r>
    </w:p>
    <w:p w:rsidR="00000000" w:rsidDel="00000000" w:rsidP="00000000" w:rsidRDefault="00000000" w:rsidRPr="00000000" w14:paraId="0000003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reprovação da prestação de informações, parcial ou total.</w:t>
      </w:r>
    </w:p>
    <w:p w:rsidR="00000000" w:rsidDel="00000000" w:rsidP="00000000" w:rsidRDefault="00000000" w:rsidRPr="00000000" w14:paraId="0000003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devolução parcial ou integral dos recursos ao erário;</w:t>
      </w:r>
    </w:p>
    <w:p w:rsidR="00000000" w:rsidDel="00000000" w:rsidP="00000000" w:rsidRDefault="00000000" w:rsidRPr="00000000" w14:paraId="0000003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apresentação de plano de ações compensatórias; ou</w:t>
      </w:r>
    </w:p>
    <w:p w:rsidR="00000000" w:rsidDel="00000000" w:rsidP="00000000" w:rsidRDefault="00000000" w:rsidRPr="00000000" w14:paraId="0000003F">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2">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3">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7.5.4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44">
      <w:pPr>
        <w:spacing w:after="100" w:lineRule="auto"/>
        <w:ind w:left="10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5">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ALTERAÇÃO DO TERMO DE EXECUÇÃO CULTURAL</w:t>
      </w:r>
    </w:p>
    <w:p w:rsidR="00000000" w:rsidDel="00000000" w:rsidP="00000000" w:rsidRDefault="00000000" w:rsidRPr="00000000" w14:paraId="0000004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8.1 A alteração do termo de execução cultural será formalizada por meio de termo aditivo.</w:t>
      </w:r>
    </w:p>
    <w:p w:rsidR="00000000" w:rsidDel="00000000" w:rsidP="00000000" w:rsidRDefault="00000000" w:rsidRPr="00000000" w14:paraId="0000004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8.2 A formalização de termo aditivo não será necessária nas seguintes hipóteses:</w:t>
      </w:r>
    </w:p>
    <w:p w:rsidR="00000000" w:rsidDel="00000000" w:rsidP="00000000" w:rsidRDefault="00000000" w:rsidRPr="00000000" w14:paraId="00000048">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9">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E">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TITULARIDADE DE BENS</w:t>
      </w:r>
    </w:p>
    <w:p w:rsidR="00000000" w:rsidDel="00000000" w:rsidP="00000000" w:rsidRDefault="00000000" w:rsidRPr="00000000" w14:paraId="0000004F">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5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1">
      <w:pPr>
        <w:spacing w:after="100" w:lineRule="auto"/>
        <w:ind w:left="100"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2">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EXTINÇÃO DO TERMO DE EXECUÇÃO CULTURAL</w:t>
      </w:r>
    </w:p>
    <w:p w:rsidR="00000000" w:rsidDel="00000000" w:rsidP="00000000" w:rsidRDefault="00000000" w:rsidRPr="00000000" w14:paraId="00000053">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10.1 O presente Termo de Execução Cultural poderá ser:</w:t>
      </w:r>
    </w:p>
    <w:p w:rsidR="00000000" w:rsidDel="00000000" w:rsidP="00000000" w:rsidRDefault="00000000" w:rsidRPr="00000000" w14:paraId="00000054">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 extinto por decurso de prazo;</w:t>
      </w:r>
    </w:p>
    <w:p w:rsidR="00000000" w:rsidDel="00000000" w:rsidP="00000000" w:rsidRDefault="00000000" w:rsidRPr="00000000" w14:paraId="00000055">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 extinto, de comum acordo antes do prazo avençado, mediante Termo de Distrato;</w:t>
      </w:r>
    </w:p>
    <w:p w:rsidR="00000000" w:rsidDel="00000000" w:rsidP="00000000" w:rsidRDefault="00000000" w:rsidRPr="00000000" w14:paraId="0000005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7">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8">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descumprimento injustificado de cláusula deste instrumento;</w:t>
      </w:r>
    </w:p>
    <w:p w:rsidR="00000000" w:rsidDel="00000000" w:rsidP="00000000" w:rsidRDefault="00000000" w:rsidRPr="00000000" w14:paraId="00000059">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irregularidade ou inexecução injustificada, ainda que parcial, do objeto, resultados ou metas pactuadas;</w:t>
      </w:r>
    </w:p>
    <w:p w:rsidR="00000000" w:rsidDel="00000000" w:rsidP="00000000" w:rsidRDefault="00000000" w:rsidRPr="00000000" w14:paraId="0000005A">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violação da legislação aplicável;</w:t>
      </w:r>
    </w:p>
    <w:p w:rsidR="00000000" w:rsidDel="00000000" w:rsidP="00000000" w:rsidRDefault="00000000" w:rsidRPr="00000000" w14:paraId="0000005B">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 cometimento de falhas reiteradas na execução;</w:t>
      </w:r>
    </w:p>
    <w:p w:rsidR="00000000" w:rsidDel="00000000" w:rsidP="00000000" w:rsidRDefault="00000000" w:rsidRPr="00000000" w14:paraId="0000005C">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má administração de recursos públicos;</w:t>
      </w:r>
    </w:p>
    <w:p w:rsidR="00000000" w:rsidDel="00000000" w:rsidP="00000000" w:rsidRDefault="00000000" w:rsidRPr="00000000" w14:paraId="0000005D">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 constatação de falsidade ou fraude nas informações ou documentos apresentados;</w:t>
      </w:r>
    </w:p>
    <w:p w:rsidR="00000000" w:rsidDel="00000000" w:rsidP="00000000" w:rsidRDefault="00000000" w:rsidRPr="00000000" w14:paraId="0000005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 não atendimento às recomendações ou determinações decorrentes da fiscalização;</w:t>
      </w:r>
    </w:p>
    <w:p w:rsidR="00000000" w:rsidDel="00000000" w:rsidP="00000000" w:rsidRDefault="00000000" w:rsidRPr="00000000" w14:paraId="0000005F">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 outras hipóteses expressamente previstas na legislação aplicável.</w:t>
      </w:r>
    </w:p>
    <w:p w:rsidR="00000000" w:rsidDel="00000000" w:rsidP="00000000" w:rsidRDefault="00000000" w:rsidRPr="00000000" w14:paraId="00000060">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2">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3">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 SANÇÕES</w:t>
      </w:r>
    </w:p>
    <w:p w:rsidR="00000000" w:rsidDel="00000000" w:rsidP="00000000" w:rsidRDefault="00000000" w:rsidRPr="00000000" w14:paraId="00000064">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65">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11.2 A decisão sobre a sanção deve ser precedida de abertura de prazo para apresentação de defesa pelo AGENTE CULTURAL. </w:t>
      </w:r>
    </w:p>
    <w:p w:rsidR="00000000" w:rsidDel="00000000" w:rsidP="00000000" w:rsidRDefault="00000000" w:rsidRPr="00000000" w14:paraId="00000066">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67">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 MONITORAMENTO E CONTROLE DE RESULTADOS </w:t>
      </w:r>
    </w:p>
    <w:p w:rsidR="00000000" w:rsidDel="00000000" w:rsidP="00000000" w:rsidRDefault="00000000" w:rsidRPr="00000000" w14:paraId="00000068">
      <w:pPr>
        <w:spacing w:after="100" w:lineRule="auto"/>
        <w:ind w:left="100"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12.1 12.1 Os procedimentos de monitoramento e avaliação dos projetos culturais contemplados, assim como a prestação de informação à administração pública, observarão o Decreto nº 11.453/2023 (Decreto de Fomento), que dispõe sobre os mecanismos de fomento do sistema de financiamento à cultura, observadas às exigências legais de simplificação de foco no cumprimento do objeto., a serem observados pela comissão especial.</w:t>
      </w:r>
      <w:r w:rsidDel="00000000" w:rsidR="00000000" w:rsidRPr="00000000">
        <w:rPr>
          <w:rtl w:val="0"/>
        </w:rPr>
      </w:r>
    </w:p>
    <w:p w:rsidR="00000000" w:rsidDel="00000000" w:rsidP="00000000" w:rsidRDefault="00000000" w:rsidRPr="00000000" w14:paraId="00000069">
      <w:pPr>
        <w:spacing w:after="100" w:lineRule="auto"/>
        <w:ind w:left="100"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6A">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 VIGÊNCIA </w:t>
      </w:r>
    </w:p>
    <w:p w:rsidR="00000000" w:rsidDel="00000000" w:rsidP="00000000" w:rsidRDefault="00000000" w:rsidRPr="00000000" w14:paraId="0000006B">
      <w:pPr>
        <w:spacing w:after="100" w:lineRule="auto"/>
        <w:ind w:left="1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13.1 </w:t>
      </w:r>
      <w:r w:rsidDel="00000000" w:rsidR="00000000" w:rsidRPr="00000000">
        <w:rPr>
          <w:rFonts w:ascii="Arial" w:cs="Arial" w:eastAsia="Arial" w:hAnsi="Arial"/>
          <w:sz w:val="24"/>
          <w:szCs w:val="24"/>
          <w:highlight w:val="white"/>
          <w:rtl w:val="0"/>
        </w:rPr>
        <w:t xml:space="preserve">A vigência deste instrumento terá início na data de assinatura das partes, com duração de 08 (oito) meses, podendo ser prorrogado por 30 (trinta) dias, com pedido de prorrogação.</w:t>
      </w:r>
    </w:p>
    <w:p w:rsidR="00000000" w:rsidDel="00000000" w:rsidP="00000000" w:rsidRDefault="00000000" w:rsidRPr="00000000" w14:paraId="0000006C">
      <w:pPr>
        <w:spacing w:after="100" w:lineRule="auto"/>
        <w:ind w:lef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 PUBLICAÇÃO </w:t>
      </w:r>
    </w:p>
    <w:p w:rsidR="00000000" w:rsidDel="00000000" w:rsidP="00000000" w:rsidRDefault="00000000" w:rsidRPr="00000000" w14:paraId="0000006E">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14.1 O Extrato do Termo de Execução Cultural será publicado no Diário Oficial do Município.</w:t>
      </w:r>
    </w:p>
    <w:p w:rsidR="00000000" w:rsidDel="00000000" w:rsidP="00000000" w:rsidRDefault="00000000" w:rsidRPr="00000000" w14:paraId="0000006F">
      <w:pPr>
        <w:spacing w:after="100" w:lineRule="auto"/>
        <w:ind w:lef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after="100" w:lineRule="auto"/>
        <w:ind w:left="10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15. FORO </w:t>
      </w:r>
    </w:p>
    <w:p w:rsidR="00000000" w:rsidDel="00000000" w:rsidP="00000000" w:rsidRDefault="00000000" w:rsidRPr="00000000" w14:paraId="00000071">
      <w:pPr>
        <w:spacing w:after="100" w:lineRule="auto"/>
        <w:ind w:left="1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15.1 Fica eleito o Foro de Itajaí</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para dirimir quaisquer dúvidas relativas ao presente Termo de Execução Cultural.</w:t>
      </w:r>
    </w:p>
    <w:p w:rsidR="00000000" w:rsidDel="00000000" w:rsidP="00000000" w:rsidRDefault="00000000" w:rsidRPr="00000000" w14:paraId="00000072">
      <w:pPr>
        <w:spacing w:after="100" w:lineRule="auto"/>
        <w:ind w:lef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100" w:lineRule="auto"/>
        <w:ind w:left="1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100" w:lineRule="auto"/>
        <w:ind w:left="10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LOCAL, [INDICAR DIA, MÊS E ANO].</w:t>
      </w:r>
    </w:p>
    <w:p w:rsidR="00000000" w:rsidDel="00000000" w:rsidP="00000000" w:rsidRDefault="00000000" w:rsidRPr="00000000" w14:paraId="00000075">
      <w:pPr>
        <w:spacing w:after="10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6">
      <w:pPr>
        <w:spacing w:after="10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Pelo órgão:</w:t>
      </w:r>
    </w:p>
    <w:p w:rsidR="00000000" w:rsidDel="00000000" w:rsidP="00000000" w:rsidRDefault="00000000" w:rsidRPr="00000000" w14:paraId="00000077">
      <w:pPr>
        <w:spacing w:after="10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DO REPRESENTANTE]</w:t>
      </w:r>
    </w:p>
    <w:p w:rsidR="00000000" w:rsidDel="00000000" w:rsidP="00000000" w:rsidRDefault="00000000" w:rsidRPr="00000000" w14:paraId="00000078">
      <w:pPr>
        <w:spacing w:after="10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10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Pelo Agente Cultural:</w:t>
      </w:r>
    </w:p>
    <w:p w:rsidR="00000000" w:rsidDel="00000000" w:rsidP="00000000" w:rsidRDefault="00000000" w:rsidRPr="00000000" w14:paraId="0000007A">
      <w:pPr>
        <w:spacing w:after="10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DO AGENTE CULTURAL]</w:t>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sectPr>
      <w:headerReference r:id="rId7" w:type="default"/>
      <w:footerReference r:id="rId8" w:type="default"/>
      <w:pgSz w:h="16838" w:w="11906" w:orient="portrait"/>
      <w:pgMar w:bottom="1418" w:top="1701" w:left="1134" w:right="1134" w:header="62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2663825</wp:posOffset>
          </wp:positionH>
          <wp:positionV relativeFrom="paragraph">
            <wp:posOffset>-81277</wp:posOffset>
          </wp:positionV>
          <wp:extent cx="1242060" cy="418465"/>
          <wp:effectExtent b="0" l="0" r="0" t="0"/>
          <wp:wrapNone/>
          <wp:docPr descr="Desenho de personagem de desenhos animados com texto preto sobre fundo branco&#10;&#10;Descrição gerada automaticamente com confiança média" id="1446844515" name="image1.jpg"/>
          <a:graphic>
            <a:graphicData uri="http://schemas.openxmlformats.org/drawingml/2006/picture">
              <pic:pic>
                <pic:nvPicPr>
                  <pic:cNvPr descr="Desenho de personagem de desenhos animados com texto preto sobre fundo branco&#10;&#10;Descrição gerada automaticamente com confiança média" id="0" name="image1.jpg"/>
                  <pic:cNvPicPr preferRelativeResize="0"/>
                </pic:nvPicPr>
                <pic:blipFill>
                  <a:blip r:embed="rId1"/>
                  <a:srcRect b="0" l="0" r="0" t="0"/>
                  <a:stretch>
                    <a:fillRect/>
                  </a:stretch>
                </pic:blipFill>
                <pic:spPr>
                  <a:xfrm>
                    <a:off x="0" y="0"/>
                    <a:ext cx="1242060" cy="418465"/>
                  </a:xfrm>
                  <a:prstGeom prst="rect"/>
                  <a:ln/>
                </pic:spPr>
              </pic:pic>
            </a:graphicData>
          </a:graphic>
        </wp:anchor>
      </w:drawing>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ff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-678178</wp:posOffset>
          </wp:positionH>
          <wp:positionV relativeFrom="paragraph">
            <wp:posOffset>-355598</wp:posOffset>
          </wp:positionV>
          <wp:extent cx="7200000" cy="10440000"/>
          <wp:effectExtent b="0" l="0" r="0" t="0"/>
          <wp:wrapNone/>
          <wp:docPr descr="Fundo preto com letras brancas" id="1446844514" name="image2.png"/>
          <a:graphic>
            <a:graphicData uri="http://schemas.openxmlformats.org/drawingml/2006/picture">
              <pic:pic>
                <pic:nvPicPr>
                  <pic:cNvPr descr="Fundo preto com letras brancas" id="0" name="image2.png"/>
                  <pic:cNvPicPr preferRelativeResize="0"/>
                </pic:nvPicPr>
                <pic:blipFill>
                  <a:blip r:embed="rId1"/>
                  <a:srcRect b="0" l="0" r="0" t="0"/>
                  <a:stretch>
                    <a:fillRect/>
                  </a:stretch>
                </pic:blipFill>
                <pic:spPr>
                  <a:xfrm>
                    <a:off x="0" y="0"/>
                    <a:ext cx="7200000" cy="10440000"/>
                  </a:xfrm>
                  <a:prstGeom prst="rect"/>
                  <a:ln/>
                </pic:spPr>
              </pic:pic>
            </a:graphicData>
          </a:graphic>
        </wp:anchor>
      </w:drawing>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ff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uiPriority w:val="9"/>
    <w:qFormat w:val="1"/>
    <w:rsid w:val="00A5147C"/>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NormalTable0" w:customStyle="1">
    <w:name w:val="Normal Table0"/>
    <w:tblPr>
      <w:tblCellMar>
        <w:top w:w="0.0" w:type="dxa"/>
        <w:left w:w="0.0" w:type="dxa"/>
        <w:bottom w:w="0.0" w:type="dxa"/>
        <w:right w:w="0.0" w:type="dxa"/>
      </w:tblCellMar>
    </w:tblPr>
  </w:style>
  <w:style w:type="paragraph" w:styleId="textocentralizadomaiusculas" w:customStyle="1">
    <w:name w:val="texto_centralizado_maiusculas"/>
    <w:basedOn w:val="Normal"/>
    <w:rsid w:val="00FF186D"/>
    <w:pPr>
      <w:spacing w:after="100" w:afterAutospacing="1" w:before="100" w:beforeAutospacing="1" w:line="240" w:lineRule="auto"/>
    </w:pPr>
    <w:rPr>
      <w:rFonts w:ascii="Times New Roman" w:cs="Times New Roman" w:eastAsia="Times New Roman" w:hAnsi="Times New Roman"/>
      <w:sz w:val="24"/>
      <w:szCs w:val="24"/>
    </w:rPr>
  </w:style>
  <w:style w:type="character" w:styleId="Forte">
    <w:name w:val="Strong"/>
    <w:basedOn w:val="Fontepargpadro"/>
    <w:uiPriority w:val="22"/>
    <w:qFormat w:val="1"/>
    <w:rsid w:val="00FF186D"/>
    <w:rPr>
      <w:b w:val="1"/>
      <w:bCs w:val="1"/>
    </w:rPr>
  </w:style>
  <w:style w:type="paragraph" w:styleId="textojustificado" w:customStyle="1">
    <w:name w:val="texto_justificado"/>
    <w:basedOn w:val="Normal"/>
    <w:rsid w:val="00FF186D"/>
    <w:pPr>
      <w:spacing w:after="100" w:afterAutospacing="1" w:before="100" w:beforeAutospacing="1" w:line="240" w:lineRule="auto"/>
    </w:pPr>
    <w:rPr>
      <w:rFonts w:ascii="Times New Roman" w:cs="Times New Roman" w:eastAsia="Times New Roman" w:hAnsi="Times New Roman"/>
      <w:sz w:val="24"/>
      <w:szCs w:val="24"/>
    </w:rPr>
  </w:style>
  <w:style w:type="paragraph" w:styleId="textocentralizado" w:customStyle="1">
    <w:name w:val="texto_centralizado"/>
    <w:basedOn w:val="Normal"/>
    <w:rsid w:val="00FF186D"/>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Fontepargpadro"/>
    <w:uiPriority w:val="99"/>
    <w:unhideWhenUsed w:val="1"/>
    <w:rsid w:val="00FF186D"/>
    <w:rPr>
      <w:color w:val="0000ff"/>
      <w:u w:val="single"/>
    </w:rPr>
  </w:style>
  <w:style w:type="paragraph" w:styleId="NormalWeb">
    <w:name w:val="Normal (Web)"/>
    <w:basedOn w:val="Normal"/>
    <w:uiPriority w:val="99"/>
    <w:unhideWhenUsed w:val="1"/>
    <w:rsid w:val="00FF186D"/>
    <w:pPr>
      <w:spacing w:after="100" w:afterAutospacing="1" w:before="100" w:beforeAutospacing="1" w:line="240" w:lineRule="auto"/>
    </w:pPr>
    <w:rPr>
      <w:rFonts w:ascii="Times New Roman" w:cs="Times New Roman" w:eastAsia="Times New Roman" w:hAnsi="Times New Roman"/>
      <w:sz w:val="24"/>
      <w:szCs w:val="24"/>
    </w:rPr>
  </w:style>
  <w:style w:type="paragraph" w:styleId="texto1" w:customStyle="1">
    <w:name w:val="texto1"/>
    <w:basedOn w:val="Normal"/>
    <w:rsid w:val="00FF186D"/>
    <w:pPr>
      <w:spacing w:after="100" w:afterAutospacing="1" w:before="100" w:beforeAutospacing="1" w:line="240" w:lineRule="auto"/>
    </w:pPr>
    <w:rPr>
      <w:rFonts w:ascii="Times New Roman" w:cs="Times New Roman" w:eastAsia="Times New Roman" w:hAnsi="Times New Roman"/>
      <w:sz w:val="24"/>
      <w:szCs w:val="24"/>
    </w:rPr>
  </w:style>
  <w:style w:type="paragraph" w:styleId="PargrafodaLista">
    <w:name w:val="List Paragraph"/>
    <w:basedOn w:val="Normal"/>
    <w:uiPriority w:val="34"/>
    <w:qFormat w:val="1"/>
    <w:rsid w:val="006B5A24"/>
    <w:pPr>
      <w:ind w:left="720"/>
      <w:contextualSpacing w:val="1"/>
    </w:pPr>
  </w:style>
  <w:style w:type="character" w:styleId="MenoPendente1" w:customStyle="1">
    <w:name w:val="Menção Pendente1"/>
    <w:basedOn w:val="Fontepargpadro"/>
    <w:uiPriority w:val="99"/>
    <w:semiHidden w:val="1"/>
    <w:unhideWhenUsed w:val="1"/>
    <w:rsid w:val="005B7978"/>
    <w:rPr>
      <w:color w:val="605e5c"/>
      <w:shd w:color="auto" w:fill="e1dfdd" w:val="clear"/>
    </w:rPr>
  </w:style>
  <w:style w:type="paragraph" w:styleId="dou-paragraph" w:customStyle="1">
    <w:name w:val="dou-paragraph"/>
    <w:basedOn w:val="Normal"/>
    <w:rsid w:val="00C90A36"/>
    <w:pPr>
      <w:spacing w:after="100" w:afterAutospacing="1" w:before="100" w:beforeAutospacing="1" w:line="240" w:lineRule="auto"/>
    </w:pPr>
    <w:rPr>
      <w:rFonts w:ascii="Times New Roman" w:cs="Times New Roman" w:eastAsia="Times New Roman" w:hAnsi="Times New Roman"/>
      <w:sz w:val="24"/>
      <w:szCs w:val="24"/>
    </w:rPr>
  </w:style>
  <w:style w:type="character" w:styleId="Refdecomentrio">
    <w:name w:val="annotation reference"/>
    <w:basedOn w:val="Fontepargpadro"/>
    <w:uiPriority w:val="99"/>
    <w:semiHidden w:val="1"/>
    <w:unhideWhenUsed w:val="1"/>
    <w:rsid w:val="00674563"/>
    <w:rPr>
      <w:sz w:val="16"/>
      <w:szCs w:val="16"/>
    </w:rPr>
  </w:style>
  <w:style w:type="paragraph" w:styleId="Textodecomentrio">
    <w:name w:val="annotation text"/>
    <w:basedOn w:val="Normal"/>
    <w:link w:val="TextodecomentrioChar"/>
    <w:uiPriority w:val="99"/>
    <w:unhideWhenUsed w:val="1"/>
    <w:rsid w:val="00674563"/>
    <w:pPr>
      <w:spacing w:line="240" w:lineRule="auto"/>
    </w:pPr>
    <w:rPr>
      <w:sz w:val="20"/>
      <w:szCs w:val="20"/>
    </w:rPr>
  </w:style>
  <w:style w:type="character" w:styleId="TextodecomentrioChar" w:customStyle="1">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674563"/>
    <w:rPr>
      <w:b w:val="1"/>
      <w:bCs w:val="1"/>
    </w:rPr>
  </w:style>
  <w:style w:type="character" w:styleId="AssuntodocomentrioChar" w:customStyle="1">
    <w:name w:val="Assunto do comentário Char"/>
    <w:basedOn w:val="TextodecomentrioChar"/>
    <w:link w:val="Assuntodocomentrio"/>
    <w:uiPriority w:val="99"/>
    <w:semiHidden w:val="1"/>
    <w:rsid w:val="00674563"/>
    <w:rPr>
      <w:b w:val="1"/>
      <w:bCs w:val="1"/>
      <w:sz w:val="20"/>
      <w:szCs w:val="20"/>
    </w:rPr>
  </w:style>
  <w:style w:type="character" w:styleId="Meno1" w:customStyle="1">
    <w:name w:val="Menção1"/>
    <w:basedOn w:val="Fontepargpadro"/>
    <w:uiPriority w:val="99"/>
    <w:unhideWhenUsed w:val="1"/>
    <w:rPr>
      <w:color w:val="2b579a"/>
      <w:shd w:color="auto" w:fill="e6e6e6" w:val="clear"/>
    </w:rPr>
  </w:style>
  <w:style w:type="character" w:styleId="Ttulo1Char" w:customStyle="1">
    <w:name w:val="Título 1 Char"/>
    <w:basedOn w:val="Fontepargpadro"/>
    <w:link w:val="Ttulo1"/>
    <w:uiPriority w:val="9"/>
    <w:rsid w:val="00A5147C"/>
    <w:rPr>
      <w:rFonts w:asciiTheme="majorHAnsi" w:cstheme="majorBidi" w:eastAsiaTheme="majorEastAsia" w:hAnsiTheme="majorHAnsi"/>
      <w:color w:val="2f5496" w:themeColor="accent1" w:themeShade="0000BF"/>
      <w:sz w:val="32"/>
      <w:szCs w:val="32"/>
    </w:rPr>
  </w:style>
  <w:style w:type="paragraph" w:styleId="CabealhodoSumrio">
    <w:name w:val="TOC Heading"/>
    <w:basedOn w:val="Ttulo1"/>
    <w:next w:val="Normal"/>
    <w:uiPriority w:val="39"/>
    <w:unhideWhenUsed w:val="1"/>
    <w:qFormat w:val="1"/>
    <w:rsid w:val="00A5147C"/>
    <w:pPr>
      <w:outlineLvl w:val="9"/>
    </w:pPr>
  </w:style>
  <w:style w:type="paragraph" w:styleId="Reviso">
    <w:name w:val="Revision"/>
    <w:hidden w:val="1"/>
    <w:uiPriority w:val="99"/>
    <w:semiHidden w:val="1"/>
    <w:rsid w:val="003C78FA"/>
    <w:pPr>
      <w:spacing w:after="0" w:line="240" w:lineRule="auto"/>
    </w:pPr>
  </w:style>
  <w:style w:type="paragraph" w:styleId="Corpodetexto">
    <w:name w:val="Body Text"/>
    <w:basedOn w:val="Normal"/>
    <w:link w:val="CorpodetextoChar"/>
    <w:uiPriority w:val="99"/>
    <w:semiHidden w:val="1"/>
    <w:unhideWhenUsed w:val="1"/>
    <w:rsid w:val="00EC4765"/>
    <w:pPr>
      <w:spacing w:after="100" w:afterAutospacing="1" w:before="100" w:beforeAutospacing="1" w:line="240" w:lineRule="auto"/>
    </w:pPr>
    <w:rPr>
      <w:rFonts w:ascii="Times New Roman" w:cs="Times New Roman" w:eastAsia="Times New Roman" w:hAnsi="Times New Roman"/>
      <w:sz w:val="24"/>
      <w:szCs w:val="24"/>
    </w:rPr>
  </w:style>
  <w:style w:type="character" w:styleId="CorpodetextoChar" w:customStyle="1">
    <w:name w:val="Corpo de texto Char"/>
    <w:basedOn w:val="Fontepargpadro"/>
    <w:link w:val="Corpodetexto"/>
    <w:uiPriority w:val="99"/>
    <w:semiHidden w:val="1"/>
    <w:rsid w:val="00EC4765"/>
    <w:rPr>
      <w:rFonts w:ascii="Times New Roman" w:cs="Times New Roman" w:eastAsia="Times New Roman" w:hAnsi="Times New Roman"/>
      <w:kern w:val="0"/>
      <w:sz w:val="24"/>
      <w:szCs w:val="24"/>
      <w:lang w:eastAsia="pt-BR"/>
    </w:rPr>
  </w:style>
  <w:style w:type="paragraph" w:styleId="paragraph" w:customStyle="1">
    <w:name w:val="paragraph"/>
    <w:basedOn w:val="Normal"/>
    <w:rsid w:val="00FE1D03"/>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FE1D03"/>
  </w:style>
  <w:style w:type="character" w:styleId="eop" w:customStyle="1">
    <w:name w:val="eop"/>
    <w:basedOn w:val="Fontepargpadro"/>
    <w:rsid w:val="00FE1D03"/>
  </w:style>
  <w:style w:type="table" w:styleId="Tabelacomgrade">
    <w:name w:val="Table Grid"/>
    <w:basedOn w:val="Tabelanormal"/>
    <w:uiPriority w:val="39"/>
    <w:rsid w:val="003F47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NormalTable0"/>
    <w:pPr>
      <w:spacing w:after="0" w:line="240" w:lineRule="auto"/>
    </w:pPr>
    <w:tblPr>
      <w:tblStyleRowBandSize w:val="1"/>
      <w:tblStyleColBandSize w:val="1"/>
      <w:tblCellMar>
        <w:left w:w="108.0" w:type="dxa"/>
        <w:right w:w="108.0" w:type="dxa"/>
      </w:tblCellMar>
    </w:tblPr>
  </w:style>
  <w:style w:type="table" w:styleId="a0" w:customStyle="1">
    <w:basedOn w:val="NormalTable0"/>
    <w:pPr>
      <w:spacing w:after="0" w:line="240" w:lineRule="auto"/>
    </w:pPr>
    <w:tblPr>
      <w:tblStyleRowBandSize w:val="1"/>
      <w:tblStyleColBandSize w:val="1"/>
      <w:tblCellMar>
        <w:left w:w="108.0" w:type="dxa"/>
        <w:right w:w="108.0" w:type="dxa"/>
      </w:tblCellMar>
    </w:tblPr>
  </w:style>
  <w:style w:type="table" w:styleId="a1" w:customStyle="1">
    <w:basedOn w:val="NormalTable0"/>
    <w:pPr>
      <w:spacing w:after="0" w:line="240" w:lineRule="auto"/>
    </w:pPr>
    <w:tblPr>
      <w:tblStyleRowBandSize w:val="1"/>
      <w:tblStyleColBandSize w:val="1"/>
      <w:tblCellMar>
        <w:left w:w="108.0" w:type="dxa"/>
        <w:right w:w="108.0" w:type="dxa"/>
      </w:tblCellMar>
    </w:tblPr>
  </w:style>
  <w:style w:type="table" w:styleId="a2" w:customStyle="1">
    <w:basedOn w:val="NormalTable0"/>
    <w:pPr>
      <w:spacing w:after="0" w:line="240" w:lineRule="auto"/>
    </w:pPr>
    <w:tblPr>
      <w:tblStyleRowBandSize w:val="1"/>
      <w:tblStyleColBandSize w:val="1"/>
      <w:tblCellMar>
        <w:left w:w="108.0" w:type="dxa"/>
        <w:right w:w="108.0" w:type="dxa"/>
      </w:tblCellMar>
    </w:tblPr>
  </w:style>
  <w:style w:type="table" w:styleId="a3" w:customStyle="1">
    <w:basedOn w:val="NormalTable0"/>
    <w:pPr>
      <w:spacing w:after="0" w:line="240" w:lineRule="auto"/>
    </w:pPr>
    <w:tblPr>
      <w:tblStyleRowBandSize w:val="1"/>
      <w:tblStyleColBandSize w:val="1"/>
      <w:tblCellMar>
        <w:left w:w="108.0" w:type="dxa"/>
        <w:right w:w="108.0" w:type="dxa"/>
      </w:tblCellMar>
    </w:tblPr>
  </w:style>
  <w:style w:type="table" w:styleId="a4" w:customStyle="1">
    <w:basedOn w:val="NormalTable0"/>
    <w:pPr>
      <w:spacing w:after="0" w:line="240" w:lineRule="auto"/>
    </w:pPr>
    <w:tblPr>
      <w:tblStyleRowBandSize w:val="1"/>
      <w:tblStyleColBandSize w:val="1"/>
      <w:tblCellMar>
        <w:left w:w="108.0" w:type="dxa"/>
        <w:right w:w="108.0" w:type="dxa"/>
      </w:tblCellMar>
    </w:tblPr>
  </w:style>
  <w:style w:type="table" w:styleId="a5" w:customStyle="1">
    <w:basedOn w:val="NormalTable0"/>
    <w:pPr>
      <w:spacing w:after="0" w:line="240" w:lineRule="auto"/>
    </w:pPr>
    <w:tblPr>
      <w:tblStyleRowBandSize w:val="1"/>
      <w:tblStyleColBandSize w:val="1"/>
      <w:tblCellMar>
        <w:left w:w="108.0" w:type="dxa"/>
        <w:right w:w="108.0" w:type="dxa"/>
      </w:tblCellMar>
    </w:tblPr>
  </w:style>
  <w:style w:type="table" w:styleId="a6" w:customStyle="1">
    <w:basedOn w:val="NormalTable0"/>
    <w:pPr>
      <w:spacing w:after="0" w:line="240" w:lineRule="auto"/>
    </w:pPr>
    <w:tblPr>
      <w:tblStyleRowBandSize w:val="1"/>
      <w:tblStyleColBandSize w:val="1"/>
      <w:tblCellMar>
        <w:left w:w="108.0" w:type="dxa"/>
        <w:right w:w="108.0" w:type="dxa"/>
      </w:tblCellMar>
    </w:tblPr>
  </w:style>
  <w:style w:type="table" w:styleId="a7" w:customStyle="1">
    <w:basedOn w:val="NormalTable0"/>
    <w:pPr>
      <w:spacing w:after="0" w:line="240" w:lineRule="auto"/>
    </w:pPr>
    <w:tblPr>
      <w:tblStyleRowBandSize w:val="1"/>
      <w:tblStyleColBandSize w:val="1"/>
      <w:tblCellMar>
        <w:left w:w="108.0" w:type="dxa"/>
        <w:right w:w="108.0" w:type="dxa"/>
      </w:tblCellMar>
    </w:tblPr>
  </w:style>
  <w:style w:type="table" w:styleId="a8" w:customStyle="1">
    <w:basedOn w:val="NormalTable0"/>
    <w:pPr>
      <w:spacing w:after="0" w:line="240" w:lineRule="auto"/>
    </w:pPr>
    <w:tblPr>
      <w:tblStyleRowBandSize w:val="1"/>
      <w:tblStyleColBandSize w:val="1"/>
      <w:tblCellMar>
        <w:left w:w="108.0" w:type="dxa"/>
        <w:right w:w="108.0" w:type="dxa"/>
      </w:tblCellMar>
    </w:tblPr>
  </w:style>
  <w:style w:type="table" w:styleId="a9" w:customStyle="1">
    <w:basedOn w:val="NormalTable0"/>
    <w:pPr>
      <w:spacing w:after="0" w:line="240" w:lineRule="auto"/>
    </w:pPr>
    <w:tblPr>
      <w:tblStyleRowBandSize w:val="1"/>
      <w:tblStyleColBandSize w:val="1"/>
      <w:tblCellMar>
        <w:left w:w="108.0" w:type="dxa"/>
        <w:right w:w="108.0" w:type="dxa"/>
      </w:tblCellMar>
    </w:tblPr>
  </w:style>
  <w:style w:type="table" w:styleId="aa" w:customStyle="1">
    <w:basedOn w:val="NormalTable0"/>
    <w:pPr>
      <w:spacing w:after="0" w:line="240" w:lineRule="auto"/>
    </w:pPr>
    <w:tblPr>
      <w:tblStyleRowBandSize w:val="1"/>
      <w:tblStyleColBandSize w:val="1"/>
      <w:tblCellMar>
        <w:left w:w="108.0" w:type="dxa"/>
        <w:right w:w="108.0" w:type="dxa"/>
      </w:tblCellMar>
    </w:tblPr>
  </w:style>
  <w:style w:type="table" w:styleId="ab" w:customStyle="1">
    <w:basedOn w:val="NormalTable0"/>
    <w:pPr>
      <w:spacing w:after="0" w:line="240" w:lineRule="auto"/>
    </w:pPr>
    <w:tblPr>
      <w:tblStyleRowBandSize w:val="1"/>
      <w:tblStyleColBandSize w:val="1"/>
      <w:tblCellMar>
        <w:left w:w="108.0" w:type="dxa"/>
        <w:right w:w="108.0" w:type="dxa"/>
      </w:tblCellMar>
    </w:tblPr>
  </w:style>
  <w:style w:type="table" w:styleId="ac" w:customStyle="1">
    <w:basedOn w:val="NormalTable0"/>
    <w:pPr>
      <w:spacing w:after="0" w:line="240" w:lineRule="auto"/>
    </w:pPr>
    <w:tblPr>
      <w:tblStyleRowBandSize w:val="1"/>
      <w:tblStyleColBandSize w:val="1"/>
      <w:tblCellMar>
        <w:left w:w="108.0" w:type="dxa"/>
        <w:right w:w="108.0" w:type="dxa"/>
      </w:tblCellMar>
    </w:tblPr>
  </w:style>
  <w:style w:type="table" w:styleId="ad" w:customStyle="1">
    <w:basedOn w:val="NormalTable0"/>
    <w:pPr>
      <w:spacing w:after="0" w:line="240" w:lineRule="auto"/>
    </w:pPr>
    <w:tblPr>
      <w:tblStyleRowBandSize w:val="1"/>
      <w:tblStyleColBandSize w:val="1"/>
      <w:tblCellMar>
        <w:left w:w="108.0" w:type="dxa"/>
        <w:right w:w="108.0" w:type="dxa"/>
      </w:tblCellMar>
    </w:tblPr>
  </w:style>
  <w:style w:type="paragraph" w:styleId="Cabealho">
    <w:name w:val="header"/>
    <w:basedOn w:val="Normal"/>
    <w:link w:val="CabealhoChar"/>
    <w:uiPriority w:val="99"/>
    <w:unhideWhenUsed w:val="1"/>
    <w:rsid w:val="008B02B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B02BF"/>
  </w:style>
  <w:style w:type="paragraph" w:styleId="Rodap">
    <w:name w:val="footer"/>
    <w:basedOn w:val="Normal"/>
    <w:link w:val="RodapChar"/>
    <w:uiPriority w:val="99"/>
    <w:unhideWhenUsed w:val="1"/>
    <w:rsid w:val="008B02BF"/>
    <w:pPr>
      <w:tabs>
        <w:tab w:val="center" w:pos="4252"/>
        <w:tab w:val="right" w:pos="8504"/>
      </w:tabs>
      <w:spacing w:after="0" w:line="240" w:lineRule="auto"/>
    </w:pPr>
  </w:style>
  <w:style w:type="character" w:styleId="RodapChar" w:customStyle="1">
    <w:name w:val="Rodapé Char"/>
    <w:basedOn w:val="Fontepargpadro"/>
    <w:link w:val="Rodap"/>
    <w:uiPriority w:val="99"/>
    <w:rsid w:val="008B02BF"/>
  </w:style>
  <w:style w:type="paragraph" w:styleId="Sumrio1">
    <w:name w:val="toc 1"/>
    <w:basedOn w:val="Normal"/>
    <w:next w:val="Normal"/>
    <w:autoRedefine w:val="1"/>
    <w:uiPriority w:val="39"/>
    <w:unhideWhenUsed w:val="1"/>
    <w:rsid w:val="00EC20EE"/>
    <w:pPr>
      <w:spacing w:after="100"/>
    </w:pPr>
  </w:style>
  <w:style w:type="paragraph" w:styleId="TableParagraph" w:customStyle="1">
    <w:name w:val="Table Paragraph"/>
    <w:basedOn w:val="Normal"/>
    <w:uiPriority w:val="1"/>
    <w:qFormat w:val="1"/>
    <w:rsid w:val="009A11D8"/>
    <w:pPr>
      <w:widowControl w:val="0"/>
      <w:suppressAutoHyphens w:val="1"/>
      <w:spacing w:after="0" w:line="240" w:lineRule="auto"/>
    </w:pPr>
    <w:rPr>
      <w:lang w:eastAsia="en-US" w:val="pt-PT"/>
    </w:rPr>
  </w:style>
  <w:style w:type="character" w:styleId="MenoPendente">
    <w:name w:val="Unresolved Mention"/>
    <w:basedOn w:val="Fontepargpadro"/>
    <w:uiPriority w:val="99"/>
    <w:semiHidden w:val="1"/>
    <w:unhideWhenUsed w:val="1"/>
    <w:rsid w:val="00A62D69"/>
    <w:rPr>
      <w:color w:val="605e5c"/>
      <w:shd w:color="auto" w:fill="e1dfdd" w:val="clear"/>
    </w:rPr>
  </w:style>
  <w:style w:type="character" w:styleId="Meno">
    <w:name w:val="Mention"/>
    <w:basedOn w:val="Fontepargpadro"/>
    <w:uiPriority w:val="99"/>
    <w:unhideWhenUsed w:val="1"/>
    <w:rsid w:val="00A62D69"/>
    <w:rPr>
      <w:color w:val="2b579a"/>
      <w:shd w:color="auto" w:fill="e6e6e6"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533bC9sNMfa0lg2PfJXdCnl5w==">CgMxLjA4AHIhMXVRRVRJdElDTUlxdW1xVkN5VVp1elpRNUJOelNpT2FI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2024-09-13T17:26:00Z</dcterms:created>
  <dc:creator>Laís Alves Valente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