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TERMO DE EXECUÇÃO CULTURAL Nº 000/2024 TENDO POR OBJETO A CONCESSÃO DE APOIO FINANCEIRO A AÇÕES CULTURAIS CONTEMPLADAS PELO EDITAL </w:t>
      </w:r>
      <w:r w:rsidDel="00000000" w:rsidR="00000000" w:rsidRPr="00000000">
        <w:rPr>
          <w:rFonts w:ascii="Arial" w:cs="Arial" w:eastAsia="Arial" w:hAnsi="Arial"/>
          <w:b w:val="1"/>
          <w:sz w:val="24"/>
          <w:szCs w:val="24"/>
          <w:rtl w:val="0"/>
        </w:rPr>
        <w:t xml:space="preserve">nº 006/2024</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 NOS TERMOS DA LEI Nº 14.399/2022 (PNAB), DO DECRETO N. 11.740/2023 (DECRETO PNAB) E DO DECRETO 11.453/2023 (DECRETO DE FOMENTO).</w:t>
      </w:r>
    </w:p>
    <w:p w:rsidR="00000000" w:rsidDel="00000000" w:rsidP="00000000" w:rsidRDefault="00000000" w:rsidRPr="00000000" w14:paraId="00000004">
      <w:pPr>
        <w:spacing w:after="120" w:lineRule="auto"/>
        <w:ind w:left="10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A FUNDAÇÃO CULTURAL DE ITAJAÍ, neste ato representado por seu SUPERINTENDENTE ADMINISTRATIVO DAS FUNDAÇÕES, Senhor NORMÉLIO PEDRO WEBER,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000000" w:rsidDel="00000000" w:rsidP="00000000" w:rsidRDefault="00000000" w:rsidRPr="00000000" w14:paraId="0000000A">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Arial" w:cs="Arial" w:eastAsia="Arial" w:hAnsi="Arial"/>
          <w:color w:val="ffffff"/>
          <w:sz w:val="24"/>
          <w:szCs w:val="24"/>
          <w:highlight w:val="black"/>
        </w:rPr>
      </w:pPr>
      <w:r w:rsidDel="00000000" w:rsidR="00000000" w:rsidRPr="00000000">
        <w:rPr>
          <w:rFonts w:ascii="Arial" w:cs="Arial" w:eastAsia="Arial" w:hAnsi="Arial"/>
          <w:sz w:val="24"/>
          <w:szCs w:val="24"/>
          <w:rtl w:val="0"/>
        </w:rPr>
        <w:t xml:space="preserve">6.1 São obrigações da FUNDAÇÃO CULTURAL DE ITAJAÍ.</w:t>
      </w:r>
      <w:r w:rsidDel="00000000" w:rsidR="00000000" w:rsidRPr="00000000">
        <w:rPr>
          <w:rtl w:val="0"/>
        </w:rPr>
      </w:r>
    </w:p>
    <w:p w:rsidR="00000000" w:rsidDel="00000000" w:rsidP="00000000" w:rsidRDefault="00000000" w:rsidRPr="00000000" w14:paraId="0000001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prestar informações à</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FUNDAÇÃO CULTURAL DE ITAJAÍ, por meio de Relatório de Execução do Objeto, apresentado no prazo de 30 (trinta) dias contados do término da vigência do termo de execução cultural;</w:t>
      </w:r>
    </w:p>
    <w:p w:rsidR="00000000" w:rsidDel="00000000" w:rsidP="00000000" w:rsidRDefault="00000000" w:rsidRPr="00000000" w14:paraId="0000001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atender a qualquer solicitação regular feita pelo FUNDAÇÃO CULTURAL DE ITAJAÍ a contar do recebimento da notificação; </w:t>
      </w:r>
    </w:p>
    <w:p w:rsidR="00000000" w:rsidDel="00000000" w:rsidP="00000000" w:rsidRDefault="00000000" w:rsidRPr="00000000" w14:paraId="0000002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r w:rsidDel="00000000" w:rsidR="00000000" w:rsidRPr="00000000">
        <w:rPr>
          <w:rtl w:val="0"/>
        </w:rPr>
      </w:r>
    </w:p>
    <w:p w:rsidR="00000000" w:rsidDel="00000000" w:rsidP="00000000" w:rsidRDefault="00000000" w:rsidRPr="00000000" w14:paraId="00000025">
      <w:pPr>
        <w:spacing w:after="100" w:lineRule="auto"/>
        <w:ind w:left="100" w:firstLine="0"/>
        <w:jc w:val="both"/>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PRESTAÇÃO DE INFORMAÇÕES EM RELATÓRIO DE EXECUÇÃO DO OBJETO</w:t>
      </w:r>
    </w:p>
    <w:p w:rsidR="00000000" w:rsidDel="00000000" w:rsidP="00000000" w:rsidRDefault="00000000" w:rsidRPr="00000000" w14:paraId="0000002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 O agente cultural prestará contas à administração pública por meio da categoria de prestação de informações em relatório de execução do objeto. </w:t>
      </w:r>
    </w:p>
    <w:p w:rsidR="00000000" w:rsidDel="00000000" w:rsidP="00000000" w:rsidRDefault="00000000" w:rsidRPr="00000000" w14:paraId="0000002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2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apresentação de relatório de execução do objeto pelo beneficiário no prazo estabelecido pelo ente federativo no regulamento ou no instrumento de seleção; e</w:t>
      </w:r>
    </w:p>
    <w:p w:rsidR="00000000" w:rsidDel="00000000" w:rsidP="00000000" w:rsidRDefault="00000000" w:rsidRPr="00000000" w14:paraId="0000002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análise do relatório de execução do objeto por agente público designado.</w:t>
      </w:r>
    </w:p>
    <w:p w:rsidR="00000000" w:rsidDel="00000000" w:rsidP="00000000" w:rsidRDefault="00000000" w:rsidRPr="00000000" w14:paraId="0000002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7.2.1 O relatório de prestação de informações sobre o cumprimento do objeto deverá:</w:t>
      </w:r>
    </w:p>
    <w:p w:rsidR="00000000" w:rsidDel="00000000" w:rsidP="00000000" w:rsidRDefault="00000000" w:rsidRPr="00000000" w14:paraId="0000002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comprovar que foram alcançados os resultados da ação cultural;</w:t>
      </w:r>
    </w:p>
    <w:p w:rsidR="00000000" w:rsidDel="00000000" w:rsidP="00000000" w:rsidRDefault="00000000" w:rsidRPr="00000000" w14:paraId="0000002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conter a descrição das ações desenvolvidas para o cumprimento do objeto; </w:t>
      </w:r>
    </w:p>
    <w:p w:rsidR="00000000" w:rsidDel="00000000" w:rsidP="00000000" w:rsidRDefault="00000000" w:rsidRPr="00000000" w14:paraId="0000002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7.2.2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03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03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3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7.2.3 Após o recebimento do processo pelo agente público de que trata o item 7.2.2, autoridade responsável pelo julgamento da prestação de informações poderá:</w:t>
      </w:r>
    </w:p>
    <w:p w:rsidR="00000000" w:rsidDel="00000000" w:rsidP="00000000" w:rsidRDefault="00000000" w:rsidRPr="00000000" w14:paraId="0000003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determinar o arquivamento, caso considere que houve o cumprimento integral do objeto ou o cumprimento parcial justificado;</w:t>
      </w:r>
    </w:p>
    <w:p w:rsidR="00000000" w:rsidDel="00000000" w:rsidP="00000000" w:rsidRDefault="00000000" w:rsidRPr="00000000" w14:paraId="0000003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3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3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7.3 O relatório de execução financeira será exigido, independente da modalidade inicial de prestação de informações (in loco ou em relatório de execução do objeto), somente nas seguintes hipóteses:</w:t>
      </w:r>
    </w:p>
    <w:p w:rsidR="00000000" w:rsidDel="00000000" w:rsidP="00000000" w:rsidRDefault="00000000" w:rsidRPr="00000000" w14:paraId="0000003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quando não estiver comprovado o cumprimento do objeto, observados os procedimentos previstos no item 7.2; ou</w:t>
      </w:r>
    </w:p>
    <w:p w:rsidR="00000000" w:rsidDel="00000000" w:rsidP="00000000" w:rsidRDefault="00000000" w:rsidRPr="00000000" w14:paraId="0000003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7.3.1 O prazo para apresentação do relatório de execução financeira será de, no mínimo, trinta dias, contado do recebimento da notificação.</w:t>
      </w:r>
    </w:p>
    <w:p w:rsidR="00000000" w:rsidDel="00000000" w:rsidP="00000000" w:rsidRDefault="00000000" w:rsidRPr="00000000" w14:paraId="0000003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7.4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3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aprovação da prestação de informações, com ou sem ressalvas; ou</w:t>
      </w:r>
    </w:p>
    <w:p w:rsidR="00000000" w:rsidDel="00000000" w:rsidP="00000000" w:rsidRDefault="00000000" w:rsidRPr="00000000" w14:paraId="0000003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reprovação da prestação de informações, parcial ou total.</w:t>
      </w:r>
    </w:p>
    <w:p w:rsidR="00000000" w:rsidDel="00000000" w:rsidP="00000000" w:rsidRDefault="00000000" w:rsidRPr="00000000" w14:paraId="0000003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devolução parcial ou integral dos recursos ao erário;</w:t>
      </w:r>
    </w:p>
    <w:p w:rsidR="00000000" w:rsidDel="00000000" w:rsidP="00000000" w:rsidRDefault="00000000" w:rsidRPr="00000000" w14:paraId="0000003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apresentação de plano de ações compensatórias; ou</w:t>
      </w:r>
    </w:p>
    <w:p w:rsidR="00000000" w:rsidDel="00000000" w:rsidP="00000000" w:rsidRDefault="00000000" w:rsidRPr="00000000" w14:paraId="0000004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7.5.4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45">
      <w:pPr>
        <w:spacing w:after="100" w:lineRule="auto"/>
        <w:ind w:left="1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ALTERAÇÃO DO TERMO DE EXECUÇÃO CULTURAL</w:t>
      </w:r>
    </w:p>
    <w:p w:rsidR="00000000" w:rsidDel="00000000" w:rsidP="00000000" w:rsidRDefault="00000000" w:rsidRPr="00000000" w14:paraId="0000004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 A alteração do termo de execução cultural será formalizada por meio de termo aditivo.</w:t>
      </w:r>
    </w:p>
    <w:p w:rsidR="00000000" w:rsidDel="00000000" w:rsidP="00000000" w:rsidRDefault="00000000" w:rsidRPr="00000000" w14:paraId="0000004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 A formalização de termo aditivo não será necessária nas seguintes hipóteses:</w:t>
      </w:r>
    </w:p>
    <w:p w:rsidR="00000000" w:rsidDel="00000000" w:rsidP="00000000" w:rsidRDefault="00000000" w:rsidRPr="00000000" w14:paraId="0000004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F">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TITULARIDADE DE BENS</w:t>
      </w:r>
    </w:p>
    <w:p w:rsidR="00000000" w:rsidDel="00000000" w:rsidP="00000000" w:rsidRDefault="00000000" w:rsidRPr="00000000" w14:paraId="0000005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2">
      <w:pPr>
        <w:spacing w:after="100" w:lineRule="auto"/>
        <w:ind w:left="100"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3">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EXTINÇÃO DO TERMO DE EXECUÇÃO CULTURAL</w:t>
      </w:r>
    </w:p>
    <w:p w:rsidR="00000000" w:rsidDel="00000000" w:rsidP="00000000" w:rsidRDefault="00000000" w:rsidRPr="00000000" w14:paraId="0000005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10.1 O presente Termo de Execução Cultural poderá ser:</w:t>
      </w:r>
    </w:p>
    <w:p w:rsidR="00000000" w:rsidDel="00000000" w:rsidP="00000000" w:rsidRDefault="00000000" w:rsidRPr="00000000" w14:paraId="0000005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extinto por decurso de prazo;</w:t>
      </w:r>
    </w:p>
    <w:p w:rsidR="00000000" w:rsidDel="00000000" w:rsidP="00000000" w:rsidRDefault="00000000" w:rsidRPr="00000000" w14:paraId="0000005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extinto, de comum acordo antes do prazo avençado, mediante Termo de Distrato;</w:t>
      </w:r>
    </w:p>
    <w:p w:rsidR="00000000" w:rsidDel="00000000" w:rsidP="00000000" w:rsidRDefault="00000000" w:rsidRPr="00000000" w14:paraId="0000005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descumprimento injustificado de cláusula deste instrumento;</w:t>
      </w:r>
    </w:p>
    <w:p w:rsidR="00000000" w:rsidDel="00000000" w:rsidP="00000000" w:rsidRDefault="00000000" w:rsidRPr="00000000" w14:paraId="0000005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irregularidade ou inexecução injustificada, ainda que parcial, do objeto, resultados ou metas pactuadas;</w:t>
      </w:r>
    </w:p>
    <w:p w:rsidR="00000000" w:rsidDel="00000000" w:rsidP="00000000" w:rsidRDefault="00000000" w:rsidRPr="00000000" w14:paraId="0000005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violação da legislação aplicável;</w:t>
      </w:r>
    </w:p>
    <w:p w:rsidR="00000000" w:rsidDel="00000000" w:rsidP="00000000" w:rsidRDefault="00000000" w:rsidRPr="00000000" w14:paraId="0000005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cometimento de falhas reiteradas na execução;</w:t>
      </w:r>
    </w:p>
    <w:p w:rsidR="00000000" w:rsidDel="00000000" w:rsidP="00000000" w:rsidRDefault="00000000" w:rsidRPr="00000000" w14:paraId="0000005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má administração de recursos públicos;</w:t>
      </w:r>
    </w:p>
    <w:p w:rsidR="00000000" w:rsidDel="00000000" w:rsidP="00000000" w:rsidRDefault="00000000" w:rsidRPr="00000000" w14:paraId="0000005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constatação de falsidade ou fraude nas informações ou documentos apresentados;</w:t>
      </w:r>
    </w:p>
    <w:p w:rsidR="00000000" w:rsidDel="00000000" w:rsidP="00000000" w:rsidRDefault="00000000" w:rsidRPr="00000000" w14:paraId="0000005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não atendimento às recomendações ou determinações decorrentes da fiscalização;</w:t>
      </w:r>
    </w:p>
    <w:p w:rsidR="00000000" w:rsidDel="00000000" w:rsidP="00000000" w:rsidRDefault="00000000" w:rsidRPr="00000000" w14:paraId="0000006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 outras hipóteses expressamente previstas na legislação aplicável.</w:t>
      </w:r>
    </w:p>
    <w:p w:rsidR="00000000" w:rsidDel="00000000" w:rsidP="00000000" w:rsidRDefault="00000000" w:rsidRPr="00000000" w14:paraId="0000006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4">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SANÇÕES</w:t>
      </w:r>
    </w:p>
    <w:p w:rsidR="00000000" w:rsidDel="00000000" w:rsidP="00000000" w:rsidRDefault="00000000" w:rsidRPr="00000000" w14:paraId="0000006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6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11.2 A decisão sobre a sanção deve ser precedida de abertura de prazo para apresentação de defesa pelo AGENTE CULTURAL. </w:t>
      </w:r>
    </w:p>
    <w:p w:rsidR="00000000" w:rsidDel="00000000" w:rsidP="00000000" w:rsidRDefault="00000000" w:rsidRPr="00000000" w14:paraId="0000006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68">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MONITORAMENTO E CONTROLE DE RESULTADOS </w:t>
      </w:r>
    </w:p>
    <w:p w:rsidR="00000000" w:rsidDel="00000000" w:rsidP="00000000" w:rsidRDefault="00000000" w:rsidRPr="00000000" w14:paraId="00000069">
      <w:pPr>
        <w:spacing w:after="100" w:lineRule="auto"/>
        <w:ind w:left="10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12.1 Os procedimentos de monitoramento e avaliação dos projetos culturais contemplados, assim como a prestação de informação à administração pública, observarão o Decreto nº 11.453/2023 (Decreto de Fomento), que dispõe sobre os mecanismos de fomento do sistema de financiamento à cultura, observadas às exigências legais de simplificação de foco no cumprimento do objeto., a serem observados pela comissão especial.</w:t>
      </w:r>
      <w:r w:rsidDel="00000000" w:rsidR="00000000" w:rsidRPr="00000000">
        <w:rPr>
          <w:rtl w:val="0"/>
        </w:rPr>
      </w:r>
    </w:p>
    <w:p w:rsidR="00000000" w:rsidDel="00000000" w:rsidP="00000000" w:rsidRDefault="00000000" w:rsidRPr="00000000" w14:paraId="0000006A">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VIGÊNCIA </w:t>
      </w:r>
    </w:p>
    <w:p w:rsidR="00000000" w:rsidDel="00000000" w:rsidP="00000000" w:rsidRDefault="00000000" w:rsidRPr="00000000" w14:paraId="0000006B">
      <w:pPr>
        <w:spacing w:after="100" w:lineRule="auto"/>
        <w:ind w:left="1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13.1 </w:t>
      </w:r>
      <w:r w:rsidDel="00000000" w:rsidR="00000000" w:rsidRPr="00000000">
        <w:rPr>
          <w:rFonts w:ascii="Arial" w:cs="Arial" w:eastAsia="Arial" w:hAnsi="Arial"/>
          <w:sz w:val="24"/>
          <w:szCs w:val="24"/>
          <w:highlight w:val="white"/>
          <w:rtl w:val="0"/>
        </w:rPr>
        <w:t xml:space="preserve">A vigência deste instrumento terá início na data de assinatura das partes, com duração de 10 (dez) meses, podendo ser prorrogado por 30 (trinta) dias, com pedido de prorrogação.</w:t>
      </w:r>
    </w:p>
    <w:p w:rsidR="00000000" w:rsidDel="00000000" w:rsidP="00000000" w:rsidRDefault="00000000" w:rsidRPr="00000000" w14:paraId="0000006C">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PUBLICAÇÃO </w:t>
      </w:r>
    </w:p>
    <w:p w:rsidR="00000000" w:rsidDel="00000000" w:rsidP="00000000" w:rsidRDefault="00000000" w:rsidRPr="00000000" w14:paraId="0000006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14.1 O Extrato do Termo de Execução Cultural será publicado no Diário Oficial do Município.</w:t>
      </w:r>
    </w:p>
    <w:p w:rsidR="00000000" w:rsidDel="00000000" w:rsidP="00000000" w:rsidRDefault="00000000" w:rsidRPr="00000000" w14:paraId="0000006F">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 FORO </w:t>
      </w:r>
    </w:p>
    <w:p w:rsidR="00000000" w:rsidDel="00000000" w:rsidP="00000000" w:rsidRDefault="00000000" w:rsidRPr="00000000" w14:paraId="0000007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15.1 Fica eleito o Foro de Itajaí</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 dirimir quaisquer dúvidas relativas ao presente Termo de Execução Cultural.</w:t>
      </w:r>
    </w:p>
    <w:p w:rsidR="00000000" w:rsidDel="00000000" w:rsidP="00000000" w:rsidRDefault="00000000" w:rsidRPr="00000000" w14:paraId="00000072">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100" w:lineRule="auto"/>
        <w:ind w:left="10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LOCAL, [INDICAR DIA, MÊS E ANO].</w:t>
      </w:r>
    </w:p>
    <w:p w:rsidR="00000000" w:rsidDel="00000000" w:rsidP="00000000" w:rsidRDefault="00000000" w:rsidRPr="00000000" w14:paraId="00000075">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Pelo órgão:</w:t>
      </w:r>
    </w:p>
    <w:p w:rsidR="00000000" w:rsidDel="00000000" w:rsidP="00000000" w:rsidRDefault="00000000" w:rsidRPr="00000000" w14:paraId="00000077">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REPRESENTANTE]</w:t>
      </w:r>
    </w:p>
    <w:p w:rsidR="00000000" w:rsidDel="00000000" w:rsidP="00000000" w:rsidRDefault="00000000" w:rsidRPr="00000000" w14:paraId="00000078">
      <w:pPr>
        <w:spacing w:after="10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Pelo Agente Cultural:</w:t>
      </w:r>
    </w:p>
    <w:p w:rsidR="00000000" w:rsidDel="00000000" w:rsidP="00000000" w:rsidRDefault="00000000" w:rsidRPr="00000000" w14:paraId="0000007A">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AGENTE CULTURAL]</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18" w:top="1701" w:left="1134" w:right="1134" w:header="62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2663825</wp:posOffset>
          </wp:positionH>
          <wp:positionV relativeFrom="paragraph">
            <wp:posOffset>-81279</wp:posOffset>
          </wp:positionV>
          <wp:extent cx="1242060" cy="418465"/>
          <wp:effectExtent b="0" l="0" r="0" t="0"/>
          <wp:wrapNone/>
          <wp:docPr descr="Desenho de personagem de desenhos animados com texto preto sobre fundo branco&#10;&#10;Descrição gerada automaticamente com confiança média" id="1446844513" name="image1.jpg"/>
          <a:graphic>
            <a:graphicData uri="http://schemas.openxmlformats.org/drawingml/2006/picture">
              <pic:pic>
                <pic:nvPicPr>
                  <pic:cNvPr descr="Desenho de personagem de desenhos animados com texto preto sobre fundo branco&#10;&#10;Descrição gerada automaticamente com confiança média" id="0" name="image1.jpg"/>
                  <pic:cNvPicPr preferRelativeResize="0"/>
                </pic:nvPicPr>
                <pic:blipFill>
                  <a:blip r:embed="rId1"/>
                  <a:srcRect b="0" l="0" r="0" t="0"/>
                  <a:stretch>
                    <a:fillRect/>
                  </a:stretch>
                </pic:blipFill>
                <pic:spPr>
                  <a:xfrm>
                    <a:off x="0" y="0"/>
                    <a:ext cx="1242060" cy="418465"/>
                  </a:xfrm>
                  <a:prstGeom prst="rect"/>
                  <a:ln/>
                </pic:spPr>
              </pic:pic>
            </a:graphicData>
          </a:graphic>
        </wp:anchor>
      </w:drawing>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ff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-678179</wp:posOffset>
          </wp:positionH>
          <wp:positionV relativeFrom="paragraph">
            <wp:posOffset>-355599</wp:posOffset>
          </wp:positionV>
          <wp:extent cx="7200000" cy="10440000"/>
          <wp:effectExtent b="0" l="0" r="0" t="0"/>
          <wp:wrapNone/>
          <wp:docPr descr="Fundo preto com letras brancas" id="1446844512" name="image2.png"/>
          <a:graphic>
            <a:graphicData uri="http://schemas.openxmlformats.org/drawingml/2006/picture">
              <pic:pic>
                <pic:nvPicPr>
                  <pic:cNvPr descr="Fundo preto com letras brancas" id="0" name="image2.png"/>
                  <pic:cNvPicPr preferRelativeResize="0"/>
                </pic:nvPicPr>
                <pic:blipFill>
                  <a:blip r:embed="rId1"/>
                  <a:srcRect b="0" l="0" r="0" t="0"/>
                  <a:stretch>
                    <a:fillRect/>
                  </a:stretch>
                </pic:blipFill>
                <pic:spPr>
                  <a:xfrm>
                    <a:off x="0" y="0"/>
                    <a:ext cx="7200000" cy="10440000"/>
                  </a:xfrm>
                  <a:prstGeom prst="rect"/>
                  <a:ln/>
                </pic:spPr>
              </pic:pic>
            </a:graphicData>
          </a:graphic>
        </wp:anchor>
      </w:drawing>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ff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A5147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NormalTable0" w:customStyle="1">
    <w:name w:val="Normal Table0"/>
    <w:tblPr>
      <w:tblCellMar>
        <w:top w:w="0.0" w:type="dxa"/>
        <w:left w:w="0.0" w:type="dxa"/>
        <w:bottom w:w="0.0" w:type="dxa"/>
        <w:right w:w="0.0" w:type="dxa"/>
      </w:tblCellMar>
    </w:tblPr>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PargrafodaLista">
    <w:name w:val="List Paragraph"/>
    <w:basedOn w:val="Normal"/>
    <w:uiPriority w:val="34"/>
    <w:qFormat w:val="1"/>
    <w:rsid w:val="006B5A24"/>
    <w:pPr>
      <w:ind w:left="720"/>
      <w:contextualSpacing w:val="1"/>
    </w:pPr>
  </w:style>
  <w:style w:type="character" w:styleId="MenoPendente1" w:customStyle="1">
    <w:name w:val="Menção Pendente1"/>
    <w:basedOn w:val="Fontepargpadro"/>
    <w:uiPriority w:val="99"/>
    <w:semiHidden w:val="1"/>
    <w:unhideWhenUsed w:val="1"/>
    <w:rsid w:val="005B7978"/>
    <w:rPr>
      <w:color w:val="605e5c"/>
      <w:shd w:color="auto" w:fill="e1dfdd" w:val="clear"/>
    </w:rPr>
  </w:style>
  <w:style w:type="paragraph" w:styleId="dou-paragraph" w:customStyle="1">
    <w:name w:val="dou-paragraph"/>
    <w:basedOn w:val="Normal"/>
    <w:rsid w:val="00C90A36"/>
    <w:pPr>
      <w:spacing w:after="100" w:afterAutospacing="1" w:before="100" w:beforeAutospacing="1" w:line="240" w:lineRule="auto"/>
    </w:pPr>
    <w:rPr>
      <w:rFonts w:ascii="Times New Roman" w:cs="Times New Roman" w:eastAsia="Times New Roman" w:hAnsi="Times New Roman"/>
      <w:sz w:val="24"/>
      <w:szCs w:val="24"/>
    </w:rPr>
  </w:style>
  <w:style w:type="character" w:styleId="Refdecomentrio">
    <w:name w:val="annotation reference"/>
    <w:basedOn w:val="Fontepargpadro"/>
    <w:uiPriority w:val="99"/>
    <w:semiHidden w:val="1"/>
    <w:unhideWhenUsed w:val="1"/>
    <w:rsid w:val="00674563"/>
    <w:rPr>
      <w:sz w:val="16"/>
      <w:szCs w:val="16"/>
    </w:rPr>
  </w:style>
  <w:style w:type="paragraph" w:styleId="Textodecomentrio">
    <w:name w:val="annotation text"/>
    <w:basedOn w:val="Normal"/>
    <w:link w:val="TextodecomentrioChar"/>
    <w:uiPriority w:val="99"/>
    <w:unhideWhenUsed w:val="1"/>
    <w:rsid w:val="00674563"/>
    <w:pPr>
      <w:spacing w:line="240" w:lineRule="auto"/>
    </w:pPr>
    <w:rPr>
      <w:sz w:val="20"/>
      <w:szCs w:val="20"/>
    </w:rPr>
  </w:style>
  <w:style w:type="character" w:styleId="TextodecomentrioChar" w:customStyle="1">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74563"/>
    <w:rPr>
      <w:b w:val="1"/>
      <w:bCs w:val="1"/>
    </w:rPr>
  </w:style>
  <w:style w:type="character" w:styleId="AssuntodocomentrioChar" w:customStyle="1">
    <w:name w:val="Assunto do comentário Char"/>
    <w:basedOn w:val="TextodecomentrioChar"/>
    <w:link w:val="Assuntodocomentrio"/>
    <w:uiPriority w:val="99"/>
    <w:semiHidden w:val="1"/>
    <w:rsid w:val="00674563"/>
    <w:rPr>
      <w:b w:val="1"/>
      <w:bCs w:val="1"/>
      <w:sz w:val="20"/>
      <w:szCs w:val="20"/>
    </w:rPr>
  </w:style>
  <w:style w:type="character" w:styleId="Meno1" w:customStyle="1">
    <w:name w:val="Menção1"/>
    <w:basedOn w:val="Fontepargpadro"/>
    <w:uiPriority w:val="99"/>
    <w:unhideWhenUsed w:val="1"/>
    <w:rPr>
      <w:color w:val="2b579a"/>
      <w:shd w:color="auto" w:fill="e6e6e6" w:val="clear"/>
    </w:rPr>
  </w:style>
  <w:style w:type="character" w:styleId="Ttulo1Char" w:customStyle="1">
    <w:name w:val="Título 1 Char"/>
    <w:basedOn w:val="Fontepargpadro"/>
    <w:link w:val="Ttulo1"/>
    <w:uiPriority w:val="9"/>
    <w:rsid w:val="00A5147C"/>
    <w:rPr>
      <w:rFonts w:asciiTheme="majorHAnsi" w:cstheme="majorBidi" w:eastAsiaTheme="majorEastAsia" w:hAnsiTheme="majorHAnsi"/>
      <w:color w:val="2f5496" w:themeColor="accent1" w:themeShade="0000BF"/>
      <w:sz w:val="32"/>
      <w:szCs w:val="32"/>
    </w:rPr>
  </w:style>
  <w:style w:type="paragraph" w:styleId="CabealhodoSumrio">
    <w:name w:val="TOC Heading"/>
    <w:basedOn w:val="Ttulo1"/>
    <w:next w:val="Normal"/>
    <w:uiPriority w:val="39"/>
    <w:unhideWhenUsed w:val="1"/>
    <w:qFormat w:val="1"/>
    <w:rsid w:val="00A5147C"/>
    <w:pPr>
      <w:outlineLvl w:val="9"/>
    </w:pPr>
  </w:style>
  <w:style w:type="paragraph" w:styleId="Reviso">
    <w:name w:val="Revision"/>
    <w:hidden w:val="1"/>
    <w:uiPriority w:val="99"/>
    <w:semiHidden w:val="1"/>
    <w:rsid w:val="003C78FA"/>
    <w:pPr>
      <w:spacing w:after="0" w:line="240" w:lineRule="auto"/>
    </w:pPr>
  </w:style>
  <w:style w:type="paragraph" w:styleId="Corpodetexto">
    <w:name w:val="Body Text"/>
    <w:basedOn w:val="Normal"/>
    <w:link w:val="CorpodetextoChar"/>
    <w:uiPriority w:val="99"/>
    <w:semiHidden w:val="1"/>
    <w:unhideWhenUsed w:val="1"/>
    <w:rsid w:val="00EC4765"/>
    <w:pPr>
      <w:spacing w:after="100" w:afterAutospacing="1" w:before="100" w:beforeAutospacing="1" w:line="240" w:lineRule="auto"/>
    </w:pPr>
    <w:rPr>
      <w:rFonts w:ascii="Times New Roman" w:cs="Times New Roman" w:eastAsia="Times New Roman" w:hAnsi="Times New Roman"/>
      <w:sz w:val="24"/>
      <w:szCs w:val="24"/>
    </w:rPr>
  </w:style>
  <w:style w:type="character" w:styleId="CorpodetextoChar" w:customStyle="1">
    <w:name w:val="Corpo de texto Char"/>
    <w:basedOn w:val="Fontepargpadro"/>
    <w:link w:val="Corpodetexto"/>
    <w:uiPriority w:val="99"/>
    <w:semiHidden w:val="1"/>
    <w:rsid w:val="00EC4765"/>
    <w:rPr>
      <w:rFonts w:ascii="Times New Roman" w:cs="Times New Roman" w:eastAsia="Times New Roman" w:hAnsi="Times New Roman"/>
      <w:kern w:val="0"/>
      <w:sz w:val="24"/>
      <w:szCs w:val="24"/>
      <w:lang w:eastAsia="pt-BR"/>
    </w:rPr>
  </w:style>
  <w:style w:type="paragraph" w:styleId="paragraph" w:customStyle="1">
    <w:name w:val="paragraph"/>
    <w:basedOn w:val="Normal"/>
    <w:rsid w:val="00FE1D03"/>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FE1D03"/>
  </w:style>
  <w:style w:type="character" w:styleId="eop" w:customStyle="1">
    <w:name w:val="eop"/>
    <w:basedOn w:val="Fontepargpadro"/>
    <w:rsid w:val="00FE1D03"/>
  </w:style>
  <w:style w:type="table" w:styleId="Tabelacomgrade">
    <w:name w:val="Table Grid"/>
    <w:basedOn w:val="Tabelanormal"/>
    <w:uiPriority w:val="39"/>
    <w:rsid w:val="003F47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NormalTable0"/>
    <w:pPr>
      <w:spacing w:after="0" w:line="240" w:lineRule="auto"/>
    </w:pPr>
    <w:tblPr>
      <w:tblStyleRowBandSize w:val="1"/>
      <w:tblStyleColBandSize w:val="1"/>
      <w:tblCellMar>
        <w:left w:w="108.0" w:type="dxa"/>
        <w:right w:w="108.0" w:type="dxa"/>
      </w:tblCellMar>
    </w:tblPr>
  </w:style>
  <w:style w:type="table" w:styleId="a0" w:customStyle="1">
    <w:basedOn w:val="NormalTable0"/>
    <w:pPr>
      <w:spacing w:after="0" w:line="240" w:lineRule="auto"/>
    </w:pPr>
    <w:tblPr>
      <w:tblStyleRowBandSize w:val="1"/>
      <w:tblStyleColBandSize w:val="1"/>
      <w:tblCellMar>
        <w:left w:w="108.0" w:type="dxa"/>
        <w:right w:w="108.0" w:type="dxa"/>
      </w:tblCellMar>
    </w:tblPr>
  </w:style>
  <w:style w:type="table" w:styleId="a1" w:customStyle="1">
    <w:basedOn w:val="NormalTable0"/>
    <w:pPr>
      <w:spacing w:after="0" w:line="240" w:lineRule="auto"/>
    </w:pPr>
    <w:tblPr>
      <w:tblStyleRowBandSize w:val="1"/>
      <w:tblStyleColBandSize w:val="1"/>
      <w:tblCellMar>
        <w:left w:w="108.0" w:type="dxa"/>
        <w:right w:w="108.0" w:type="dxa"/>
      </w:tblCellMar>
    </w:tblPr>
  </w:style>
  <w:style w:type="table" w:styleId="a2" w:customStyle="1">
    <w:basedOn w:val="NormalTable0"/>
    <w:pPr>
      <w:spacing w:after="0" w:line="240" w:lineRule="auto"/>
    </w:pPr>
    <w:tblPr>
      <w:tblStyleRowBandSize w:val="1"/>
      <w:tblStyleColBandSize w:val="1"/>
      <w:tblCellMar>
        <w:left w:w="108.0" w:type="dxa"/>
        <w:right w:w="108.0" w:type="dxa"/>
      </w:tblCellMar>
    </w:tblPr>
  </w:style>
  <w:style w:type="table" w:styleId="a3" w:customStyle="1">
    <w:basedOn w:val="NormalTable0"/>
    <w:pPr>
      <w:spacing w:after="0" w:line="240" w:lineRule="auto"/>
    </w:pPr>
    <w:tblPr>
      <w:tblStyleRowBandSize w:val="1"/>
      <w:tblStyleColBandSize w:val="1"/>
      <w:tblCellMar>
        <w:left w:w="108.0" w:type="dxa"/>
        <w:right w:w="108.0" w:type="dxa"/>
      </w:tblCellMar>
    </w:tblPr>
  </w:style>
  <w:style w:type="table" w:styleId="a4" w:customStyle="1">
    <w:basedOn w:val="NormalTable0"/>
    <w:pPr>
      <w:spacing w:after="0" w:line="240" w:lineRule="auto"/>
    </w:pPr>
    <w:tblPr>
      <w:tblStyleRowBandSize w:val="1"/>
      <w:tblStyleColBandSize w:val="1"/>
      <w:tblCellMar>
        <w:left w:w="108.0" w:type="dxa"/>
        <w:right w:w="108.0" w:type="dxa"/>
      </w:tblCellMar>
    </w:tblPr>
  </w:style>
  <w:style w:type="table" w:styleId="a5" w:customStyle="1">
    <w:basedOn w:val="NormalTable0"/>
    <w:pPr>
      <w:spacing w:after="0" w:line="240" w:lineRule="auto"/>
    </w:pPr>
    <w:tblPr>
      <w:tblStyleRowBandSize w:val="1"/>
      <w:tblStyleColBandSize w:val="1"/>
      <w:tblCellMar>
        <w:left w:w="108.0" w:type="dxa"/>
        <w:right w:w="108.0" w:type="dxa"/>
      </w:tblCellMar>
    </w:tblPr>
  </w:style>
  <w:style w:type="table" w:styleId="a6" w:customStyle="1">
    <w:basedOn w:val="NormalTable0"/>
    <w:pPr>
      <w:spacing w:after="0" w:line="240" w:lineRule="auto"/>
    </w:pPr>
    <w:tblPr>
      <w:tblStyleRowBandSize w:val="1"/>
      <w:tblStyleColBandSize w:val="1"/>
      <w:tblCellMar>
        <w:left w:w="108.0" w:type="dxa"/>
        <w:right w:w="108.0" w:type="dxa"/>
      </w:tblCellMar>
    </w:tblPr>
  </w:style>
  <w:style w:type="table" w:styleId="a7" w:customStyle="1">
    <w:basedOn w:val="NormalTable0"/>
    <w:pPr>
      <w:spacing w:after="0" w:line="240" w:lineRule="auto"/>
    </w:pPr>
    <w:tblPr>
      <w:tblStyleRowBandSize w:val="1"/>
      <w:tblStyleColBandSize w:val="1"/>
      <w:tblCellMar>
        <w:left w:w="108.0" w:type="dxa"/>
        <w:right w:w="108.0" w:type="dxa"/>
      </w:tblCellMar>
    </w:tblPr>
  </w:style>
  <w:style w:type="table" w:styleId="a8" w:customStyle="1">
    <w:basedOn w:val="NormalTable0"/>
    <w:pPr>
      <w:spacing w:after="0" w:line="240" w:lineRule="auto"/>
    </w:pPr>
    <w:tblPr>
      <w:tblStyleRowBandSize w:val="1"/>
      <w:tblStyleColBandSize w:val="1"/>
      <w:tblCellMar>
        <w:left w:w="108.0" w:type="dxa"/>
        <w:right w:w="108.0" w:type="dxa"/>
      </w:tblCellMar>
    </w:tblPr>
  </w:style>
  <w:style w:type="table" w:styleId="a9" w:customStyle="1">
    <w:basedOn w:val="NormalTable0"/>
    <w:pPr>
      <w:spacing w:after="0" w:line="240" w:lineRule="auto"/>
    </w:pPr>
    <w:tblPr>
      <w:tblStyleRowBandSize w:val="1"/>
      <w:tblStyleColBandSize w:val="1"/>
      <w:tblCellMar>
        <w:left w:w="108.0" w:type="dxa"/>
        <w:right w:w="108.0" w:type="dxa"/>
      </w:tblCellMar>
    </w:tblPr>
  </w:style>
  <w:style w:type="table" w:styleId="aa" w:customStyle="1">
    <w:basedOn w:val="NormalTable0"/>
    <w:pPr>
      <w:spacing w:after="0" w:line="240" w:lineRule="auto"/>
    </w:pPr>
    <w:tblPr>
      <w:tblStyleRowBandSize w:val="1"/>
      <w:tblStyleColBandSize w:val="1"/>
      <w:tblCellMar>
        <w:left w:w="108.0" w:type="dxa"/>
        <w:right w:w="108.0" w:type="dxa"/>
      </w:tblCellMar>
    </w:tblPr>
  </w:style>
  <w:style w:type="table" w:styleId="ab" w:customStyle="1">
    <w:basedOn w:val="NormalTable0"/>
    <w:pPr>
      <w:spacing w:after="0" w:line="240" w:lineRule="auto"/>
    </w:pPr>
    <w:tblPr>
      <w:tblStyleRowBandSize w:val="1"/>
      <w:tblStyleColBandSize w:val="1"/>
      <w:tblCellMar>
        <w:left w:w="108.0" w:type="dxa"/>
        <w:right w:w="108.0" w:type="dxa"/>
      </w:tblCellMar>
    </w:tblPr>
  </w:style>
  <w:style w:type="table" w:styleId="ac" w:customStyle="1">
    <w:basedOn w:val="NormalTable0"/>
    <w:pPr>
      <w:spacing w:after="0" w:line="240" w:lineRule="auto"/>
    </w:pPr>
    <w:tblPr>
      <w:tblStyleRowBandSize w:val="1"/>
      <w:tblStyleColBandSize w:val="1"/>
      <w:tblCellMar>
        <w:left w:w="108.0" w:type="dxa"/>
        <w:right w:w="108.0" w:type="dxa"/>
      </w:tblCellMar>
    </w:tblPr>
  </w:style>
  <w:style w:type="table" w:styleId="ad" w:customStyle="1">
    <w:basedOn w:val="NormalTable0"/>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8B02B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B02BF"/>
  </w:style>
  <w:style w:type="paragraph" w:styleId="Rodap">
    <w:name w:val="footer"/>
    <w:basedOn w:val="Normal"/>
    <w:link w:val="RodapChar"/>
    <w:uiPriority w:val="99"/>
    <w:unhideWhenUsed w:val="1"/>
    <w:rsid w:val="008B02BF"/>
    <w:pPr>
      <w:tabs>
        <w:tab w:val="center" w:pos="4252"/>
        <w:tab w:val="right" w:pos="8504"/>
      </w:tabs>
      <w:spacing w:after="0" w:line="240" w:lineRule="auto"/>
    </w:pPr>
  </w:style>
  <w:style w:type="character" w:styleId="RodapChar" w:customStyle="1">
    <w:name w:val="Rodapé Char"/>
    <w:basedOn w:val="Fontepargpadro"/>
    <w:link w:val="Rodap"/>
    <w:uiPriority w:val="99"/>
    <w:rsid w:val="008B02BF"/>
  </w:style>
  <w:style w:type="paragraph" w:styleId="Sumrio1">
    <w:name w:val="toc 1"/>
    <w:basedOn w:val="Normal"/>
    <w:next w:val="Normal"/>
    <w:autoRedefine w:val="1"/>
    <w:uiPriority w:val="39"/>
    <w:unhideWhenUsed w:val="1"/>
    <w:rsid w:val="00EC20EE"/>
    <w:pPr>
      <w:spacing w:after="100"/>
    </w:pPr>
  </w:style>
  <w:style w:type="paragraph" w:styleId="TableParagraph" w:customStyle="1">
    <w:name w:val="Table Paragraph"/>
    <w:basedOn w:val="Normal"/>
    <w:uiPriority w:val="1"/>
    <w:qFormat w:val="1"/>
    <w:rsid w:val="009A11D8"/>
    <w:pPr>
      <w:widowControl w:val="0"/>
      <w:suppressAutoHyphens w:val="1"/>
      <w:spacing w:after="0" w:line="240" w:lineRule="auto"/>
    </w:pPr>
    <w:rPr>
      <w:lang w:eastAsia="en-US" w:val="pt-PT"/>
    </w:rPr>
  </w:style>
  <w:style w:type="character" w:styleId="MenoPendente">
    <w:name w:val="Unresolved Mention"/>
    <w:basedOn w:val="Fontepargpadro"/>
    <w:uiPriority w:val="99"/>
    <w:semiHidden w:val="1"/>
    <w:unhideWhenUsed w:val="1"/>
    <w:rsid w:val="00A62D69"/>
    <w:rPr>
      <w:color w:val="605e5c"/>
      <w:shd w:color="auto" w:fill="e1dfdd" w:val="clear"/>
    </w:rPr>
  </w:style>
  <w:style w:type="character" w:styleId="Meno">
    <w:name w:val="Mention"/>
    <w:basedOn w:val="Fontepargpadro"/>
    <w:uiPriority w:val="99"/>
    <w:unhideWhenUsed w:val="1"/>
    <w:rsid w:val="00A62D69"/>
    <w:rPr>
      <w:color w:val="2b579a"/>
      <w:shd w:color="auto" w:fill="e6e6e6"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LBNp6IVC6Hmu0xz0uVsqubWoQ==">CgMxLjA4AHIhMW5QRTR6aHo5VnlzTlhoSWszazZsMzhnVi1BdzNUTFNU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2024-09-13T17:26:00Z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